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1A" w:rsidRDefault="0038581A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38581A" w:rsidRDefault="0038581A">
      <w:pPr>
        <w:pStyle w:val="ConsPlusTitle"/>
        <w:jc w:val="center"/>
      </w:pPr>
      <w:r>
        <w:t>РОССИЙСКОЙ ФЕДЕРАЦИИ</w:t>
      </w:r>
    </w:p>
    <w:p w:rsidR="0038581A" w:rsidRDefault="0038581A">
      <w:pPr>
        <w:pStyle w:val="ConsPlusTitle"/>
        <w:jc w:val="center"/>
      </w:pPr>
    </w:p>
    <w:p w:rsidR="0038581A" w:rsidRDefault="0038581A">
      <w:pPr>
        <w:pStyle w:val="ConsPlusTitle"/>
        <w:jc w:val="center"/>
      </w:pPr>
      <w:r>
        <w:t>ПРИКАЗ</w:t>
      </w:r>
    </w:p>
    <w:p w:rsidR="0038581A" w:rsidRDefault="0038581A">
      <w:pPr>
        <w:pStyle w:val="ConsPlusTitle"/>
        <w:jc w:val="center"/>
      </w:pPr>
      <w:r>
        <w:t>от 11 мая 2007 г. N 325</w:t>
      </w:r>
    </w:p>
    <w:p w:rsidR="0038581A" w:rsidRDefault="0038581A">
      <w:pPr>
        <w:pStyle w:val="ConsPlusTitle"/>
        <w:jc w:val="center"/>
      </w:pPr>
    </w:p>
    <w:p w:rsidR="0038581A" w:rsidRDefault="0038581A">
      <w:pPr>
        <w:pStyle w:val="ConsPlusTitle"/>
        <w:jc w:val="center"/>
      </w:pPr>
      <w:r>
        <w:t>ОБ УТВЕРЖДЕНИИ КРИТЕРИЕВ ОЦЕНКИ</w:t>
      </w:r>
    </w:p>
    <w:p w:rsidR="0038581A" w:rsidRDefault="0038581A">
      <w:pPr>
        <w:pStyle w:val="ConsPlusTitle"/>
        <w:jc w:val="center"/>
      </w:pPr>
      <w:r>
        <w:t>ЭФФЕКТИВНОСТИ ДЕЯТЕЛЬНОСТИ ВРАЧА ОБЩЕЙ ПРАКТИКИ</w:t>
      </w:r>
    </w:p>
    <w:p w:rsidR="0038581A" w:rsidRDefault="0038581A">
      <w:pPr>
        <w:pStyle w:val="ConsPlusTitle"/>
        <w:jc w:val="center"/>
      </w:pPr>
      <w:r>
        <w:t>(СЕМЕЙНОГО ВРАЧА)</w:t>
      </w:r>
    </w:p>
    <w:p w:rsidR="0038581A" w:rsidRDefault="0038581A">
      <w:pPr>
        <w:pStyle w:val="ConsPlusNormal"/>
        <w:jc w:val="center"/>
      </w:pPr>
    </w:p>
    <w:p w:rsidR="0038581A" w:rsidRDefault="0038581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и в целях дальнейшего совершенствования организации первичной медико-санитарной помощи населению приказываю: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критерии оценки</w:t>
        </w:r>
      </w:hyperlink>
      <w:r>
        <w:t xml:space="preserve"> эффективности деятельности врача общей практики (семейного врача) согласно приложению.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2. Рекомендовать руководителям органов управления здравоохранением субъектов Российской Федерации руководствоваться настоящим Приказом при организации работы врачей общей практики (семейных врачей).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В.И. Стародубова.</w:t>
      </w:r>
    </w:p>
    <w:p w:rsidR="0038581A" w:rsidRDefault="0038581A">
      <w:pPr>
        <w:pStyle w:val="ConsPlusNormal"/>
        <w:jc w:val="right"/>
      </w:pPr>
      <w:proofErr w:type="spellStart"/>
      <w:r>
        <w:t>Вр.и.о</w:t>
      </w:r>
      <w:proofErr w:type="spellEnd"/>
      <w:r>
        <w:t>. Министра</w:t>
      </w:r>
    </w:p>
    <w:p w:rsidR="0038581A" w:rsidRDefault="0038581A">
      <w:pPr>
        <w:pStyle w:val="ConsPlusNormal"/>
        <w:jc w:val="right"/>
      </w:pPr>
      <w:r>
        <w:t>В.СТАРОДУБОВ</w:t>
      </w:r>
    </w:p>
    <w:p w:rsidR="0038581A" w:rsidRDefault="0038581A">
      <w:pPr>
        <w:pStyle w:val="ConsPlusNormal"/>
        <w:ind w:firstLine="540"/>
        <w:jc w:val="both"/>
      </w:pPr>
    </w:p>
    <w:p w:rsidR="0038581A" w:rsidRDefault="0038581A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июня 2007 г. N 01/5383-АБ.</w:t>
      </w:r>
    </w:p>
    <w:p w:rsidR="0038581A" w:rsidRDefault="0038581A">
      <w:pPr>
        <w:pStyle w:val="ConsPlusNormal"/>
        <w:ind w:firstLine="540"/>
        <w:jc w:val="both"/>
      </w:pPr>
    </w:p>
    <w:p w:rsidR="0038581A" w:rsidRDefault="0038581A">
      <w:pPr>
        <w:pStyle w:val="ConsPlusNormal"/>
        <w:jc w:val="right"/>
        <w:outlineLvl w:val="0"/>
      </w:pPr>
      <w:r>
        <w:t>Приложение</w:t>
      </w:r>
    </w:p>
    <w:p w:rsidR="0038581A" w:rsidRDefault="0038581A">
      <w:pPr>
        <w:pStyle w:val="ConsPlusNormal"/>
        <w:jc w:val="right"/>
      </w:pPr>
      <w:r>
        <w:t>к Приказу</w:t>
      </w:r>
    </w:p>
    <w:p w:rsidR="0038581A" w:rsidRDefault="0038581A">
      <w:pPr>
        <w:pStyle w:val="ConsPlusNormal"/>
        <w:jc w:val="right"/>
      </w:pPr>
      <w:r>
        <w:t>Министерства здравоохранения</w:t>
      </w:r>
    </w:p>
    <w:p w:rsidR="0038581A" w:rsidRDefault="0038581A">
      <w:pPr>
        <w:pStyle w:val="ConsPlusNormal"/>
        <w:jc w:val="right"/>
      </w:pPr>
      <w:r>
        <w:t>и социального развития</w:t>
      </w:r>
    </w:p>
    <w:p w:rsidR="0038581A" w:rsidRDefault="0038581A">
      <w:pPr>
        <w:pStyle w:val="ConsPlusNormal"/>
        <w:jc w:val="right"/>
      </w:pPr>
      <w:r>
        <w:t>Российской Федерации</w:t>
      </w:r>
    </w:p>
    <w:p w:rsidR="0038581A" w:rsidRDefault="0038581A">
      <w:pPr>
        <w:pStyle w:val="ConsPlusNormal"/>
        <w:jc w:val="right"/>
      </w:pPr>
      <w:r>
        <w:t>от 11 мая 2007 г. N 325</w:t>
      </w:r>
    </w:p>
    <w:p w:rsidR="0038581A" w:rsidRDefault="0038581A">
      <w:pPr>
        <w:pStyle w:val="ConsPlusNormal"/>
        <w:ind w:firstLine="540"/>
        <w:jc w:val="both"/>
      </w:pPr>
    </w:p>
    <w:p w:rsidR="0038581A" w:rsidRDefault="0038581A">
      <w:pPr>
        <w:pStyle w:val="ConsPlusTitle"/>
        <w:jc w:val="center"/>
      </w:pPr>
      <w:bookmarkStart w:id="0" w:name="P32"/>
      <w:bookmarkEnd w:id="0"/>
      <w:r>
        <w:t>КРИТЕРИИ ОЦЕНКИ</w:t>
      </w:r>
    </w:p>
    <w:p w:rsidR="0038581A" w:rsidRDefault="0038581A">
      <w:pPr>
        <w:pStyle w:val="ConsPlusTitle"/>
        <w:jc w:val="center"/>
      </w:pPr>
      <w:r>
        <w:t>ЭФФЕКТИВНОСТИ ДЕЯТЕЛЬНОСТИ ВРАЧА ОБЩЕЙ ПРАКТИКИ</w:t>
      </w:r>
    </w:p>
    <w:p w:rsidR="0038581A" w:rsidRDefault="0038581A">
      <w:pPr>
        <w:pStyle w:val="ConsPlusTitle"/>
        <w:jc w:val="center"/>
      </w:pPr>
      <w:r>
        <w:t>(СЕМЕЙНОГО ВРАЧА)</w:t>
      </w:r>
    </w:p>
    <w:p w:rsidR="0038581A" w:rsidRDefault="0038581A">
      <w:pPr>
        <w:pStyle w:val="ConsPlusNormal"/>
        <w:ind w:firstLine="540"/>
        <w:jc w:val="both"/>
      </w:pPr>
    </w:p>
    <w:p w:rsidR="0038581A" w:rsidRDefault="0038581A">
      <w:pPr>
        <w:pStyle w:val="ConsPlusNormal"/>
        <w:ind w:firstLine="540"/>
        <w:jc w:val="both"/>
      </w:pPr>
      <w:r>
        <w:t xml:space="preserve">1. Основной целью введения критериев оценки эффективности деятельности </w:t>
      </w:r>
      <w:hyperlink r:id="rId5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 является проведение анализа диагностической, лечебно-профилактической и организационной работы участка врача общей практики (семейного врача) лечебно-профилактического учреждения для улучшения качества оказания первичной медико-санитарной помощи и мониторинга состояния здоровья прикрепленного населения.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2. Основными учетными медицинскими документами при оценке эффективности работы врача общей практики (семейного врача) являются: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медицинская карта амбулаторного больного (учетная </w:t>
      </w:r>
      <w:hyperlink r:id="rId6" w:history="1">
        <w:r>
          <w:rPr>
            <w:color w:val="0000FF"/>
          </w:rPr>
          <w:t>форма N 025/у-04</w:t>
        </w:r>
      </w:hyperlink>
      <w:r>
        <w:t>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история развития ребенка (учетная форма N 112/у);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lastRenderedPageBreak/>
        <w:t xml:space="preserve">паспорт врачебного участка общей (семейной) врачебной практики (учетная </w:t>
      </w:r>
      <w:hyperlink r:id="rId7" w:history="1">
        <w:r>
          <w:rPr>
            <w:color w:val="0000FF"/>
          </w:rPr>
          <w:t>форма N 030/</w:t>
        </w:r>
        <w:proofErr w:type="spellStart"/>
        <w:r>
          <w:rPr>
            <w:color w:val="0000FF"/>
          </w:rPr>
          <w:t>у-ВОП</w:t>
        </w:r>
        <w:proofErr w:type="spellEnd"/>
      </w:hyperlink>
      <w:r>
        <w:t>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ведомость учета врачебных посещений в амбулаторно-поликлинических учреждениях, на дому (учетная форма </w:t>
      </w:r>
      <w:hyperlink r:id="rId8" w:history="1">
        <w:r>
          <w:rPr>
            <w:color w:val="0000FF"/>
          </w:rPr>
          <w:t>N 039/у-02</w:t>
        </w:r>
      </w:hyperlink>
      <w:r>
        <w:t>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контрольная карта диспансерного наблюдения (учетная </w:t>
      </w:r>
      <w:hyperlink r:id="rId9" w:history="1">
        <w:r>
          <w:rPr>
            <w:color w:val="0000FF"/>
          </w:rPr>
          <w:t>форма N 030/у-04</w:t>
        </w:r>
      </w:hyperlink>
      <w:r>
        <w:t>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талон амбулаторного пациента (учетная </w:t>
      </w:r>
      <w:hyperlink r:id="rId10" w:history="1">
        <w:r>
          <w:rPr>
            <w:color w:val="0000FF"/>
          </w:rPr>
          <w:t>форма N 025-12/у</w:t>
        </w:r>
      </w:hyperlink>
      <w:r>
        <w:t>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карта гражданина, имеющего право на получение набора социальных услуг, по учету отпуска лекарственных средств (учетная </w:t>
      </w:r>
      <w:hyperlink r:id="rId11" w:history="1">
        <w:r>
          <w:rPr>
            <w:color w:val="0000FF"/>
          </w:rPr>
          <w:t>форма N 030-Л/у</w:t>
        </w:r>
      </w:hyperlink>
      <w:r>
        <w:t>).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 При оценке эффективности деятельности врача общей практики (семейного врача) рекомендуется использовать следующие критерии его деятельности: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 при оказании амбулаторно-поликлинической помощи взрослому населению: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3.1.1. стабилизация или снижение уровня госпитализации прикрепленного населения;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3.1.2. снижение частоты вызовов скорой медицинской помощи к прикрепленному населению;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3.1.3. увеличение числа посещений прикрепленного населения лечебно-профилактического учреждения с профилактической целью;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3.1.4. полнота охвата лечебно-профилактической помощью лиц, состоящих под диспансерным наблюдением;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3.1.5. полнота охвата профилактическими прививками прикрепленного населения: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против дифтерии - не менее 90% лиц в каждой возрастной группе;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против гепатита B - не менее 90% лиц в возрасте до 35 лет;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против краснухи - не менее 90% женщин в возрасте до 25 лет;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выполнение плана профилактических прививок против гриппа;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3.1.6. стабилизация или снижение показателя смертности населения на дому: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сердечно-сосудистых</w:t>
      </w:r>
      <w:proofErr w:type="spellEnd"/>
      <w:r>
        <w:t xml:space="preserve"> заболеваниях;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при туберкулезе;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при сахарном диабете;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3.1.7. снижение числа лиц, умерших на дому от болезней системы кровообращения в возрасте до 60 лет и не наблюдавшихся в течение последнего года жизни;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3.1.8. стабилизация уровня заболеваемости болезнями социального характера: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3.1.8.1. туберкулез: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число вновь выявленных больных;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флюорографическим обследованием лиц - более 90% от числа подлежащих обследованию;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lastRenderedPageBreak/>
        <w:t xml:space="preserve">полнота охвата </w:t>
      </w:r>
      <w:proofErr w:type="spellStart"/>
      <w:r>
        <w:t>бактериоскопическим</w:t>
      </w:r>
      <w:proofErr w:type="spellEnd"/>
      <w:r>
        <w:t xml:space="preserve"> обследованием лиц - более 90% от числа подлежащих обследованию;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отсутствие повторных случаев заболевания у контактных лиц в очагах активного туберкулеза;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отсутствие запущенных случаев заболевания туберкулезом;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3.1.8.2. артериальная гипертония: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число вновь выявленных больных артериальной гипертонией;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снижение уровня первичной заболеваемости ишемической болезнью сердца;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снижение числа инвалидов в результате инфаркта миокарда и инсульта;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снижение смертности прикрепленного населения от инфарктов миокарда и инсультов;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3.1.8.3. сахарный диабет: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число вновь выявленных больных сахарным диабетом;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число больных сахарным диабетом с компенсированным статусом - более 50% лиц, стоящих на учете;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снижение числа осложнений заболевания сахарным диабетом;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3.1.8.4. онкологические заболевания: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отсутствие случаев онкологических заболеваний видимых локализаций, выявленных в 3 - 4 клинических стадиях;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3.1.9. полнота охвата мероприятиями по динамическому медицинскому наблюдению за состоянием здоровья отдельных категорий граждан, имеющих право на получение набора социальных услуг, в том числе лекарственного обеспечения, санаторно-курортного и восстановительного лечения;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3.1.10. обоснованность назначения лекарственных средств и соблюдение правил выписки рецептов пациентам, имеющим право на получение набора социальных услуг;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3.2. при оказании амбулаторно-поликлинической помощи детям: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3.2.1. профилактическая деятельность врача общей практики (семейного врача) среди детского населения: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дородовыми патронажами беременных женщин.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проведенных дородовых патронажей беременных на 100 и деления на количество подлежащих дородовым патронажам беременных;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патронажем детей первого года жизни.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проведенных врачебных патронажей детей первого года жизни на 100 и деления на количество плановых врачебных патронажей детей первого года жизни;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профилактическими осмотрами детей.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lastRenderedPageBreak/>
        <w:t>Данный показатель рассчитывается путем умножения числа осмотренных детей во время профилактических осмотров на 100 и деления на число детей соответствующего возраста, подлежащих профилактическим осмотрам.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профилактическими осмотрами детей составляет не менее 95% от общего числа детей соответствующего возраста, подлежащих профилактическим осмотрам, в том числе на первом году жизни - не менее 100% (в 1 месяц, 3 месяца, 6 месяцев, 9 месяцев, 12 месяцев). Рекомендуется осмотр врачом-педиатром детей первого года жизни при проведении профилактических осмотров;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полнота охвата профилактическими прививками детей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профилактическими прививками детей составляет не менее 95% от общего числа детей, подлежащих прививкам;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числа детей первого года жизни, находящихся на грудном вскармливании;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детей первого года жизни, находящихся на грудном вскармливании, составляет: в возрасте 3 месяца - не менее 80%, 6 месяцев - не менее 50%, 9 месяцев - не менее 30%;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3.2.2. лечебно-диагностическая деятельность врачей общей практики (семейных врачей) среди детского населения: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3.2.2.1. диспансерное наблюдение детей: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детей, состоящих под диспансерным наблюдением, в общем числе детей, прикрепленных к участку врача общей практики (семейного врача);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диспансерным наблюдением по нозологическим формам.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Полнота охвата диспансерным наблюдением по нозологическим формам составляет не менее 90% от общего числа детей, состоящих под диспансерным наблюдением;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детей, снятых с диспансерного наблюдения по выздоровлению;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детей, снятых с диспансерного наблюдения по выздоровлению, составляет не менее 10% от общего числа детей, состоящих под диспансерным наблюдением;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динамика численности детей-инвалидов;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3.2.2.2. лечебно-профилактическая помощь детям, состоящим под диспансерным наблюдением: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детей, госпитализированных в плановом порядке, в общем числе детей, состоящих под диспансерным наблюдением и нуждающихся в плановой госпитализации;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детей, направленных в плановом порядке в санаторно-курортные учреждения, в общем числе детей, состоящих под диспансерным наблюдением и нуждающихся в плановом санаторно-курортном лечении;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удельный вес детей, получивших </w:t>
      </w:r>
      <w:proofErr w:type="spellStart"/>
      <w:r>
        <w:t>противорецидивное</w:t>
      </w:r>
      <w:proofErr w:type="spellEnd"/>
      <w:r>
        <w:t xml:space="preserve"> лечение, в общем числе детей, состоящих под диспансерным наблюдением и нуждающихся в </w:t>
      </w:r>
      <w:proofErr w:type="spellStart"/>
      <w:r>
        <w:t>противорецидивном</w:t>
      </w:r>
      <w:proofErr w:type="spellEnd"/>
      <w:r>
        <w:t xml:space="preserve"> лечении;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удельный вес количества выполненных индивидуальных программ реабилитации детей-инвалидов в общем числе детей-инвалидов;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lastRenderedPageBreak/>
        <w:t>обоснованность назначения лекарственных средств и соблюдение правил выписки рецептов пациентам, в том числе имеющим право на получение набора социальных услуг;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3.2.2.3. динамика заболеваемости детей: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динамика показателя первичной заболеваемости у детей.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установленных впервые в отчетном периоде случаев первичной заболеваемости у детей на 100 и деления на число детей, прикрепленных к участку врача общей практики (семейного врача);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динамика показателя общей заболеваемости (распространенности) у детей.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Данный показатель рассчитывается путем умножения количества установленных в отчетном периоде случаев общей заболеваемости (распространенности) у детей на 100 и деления на число детей, прикрепленных к участку врача общей практики (семейного врача).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Анализ в динамике уровней первичной и общей заболеваемости у детей по нозологическим формам заболеваний позволяет выявить дефекты в оказании медицинской помощи, негативно влияющие на диагностику, профилактику и лечение, и в дальнейшем планировать мероприятия по их устранению;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3.2.3. отсутствие случаев смерти детей на дому, в том числе детей первого года жизни;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3.2.4. отсутствие случаев </w:t>
      </w:r>
      <w:proofErr w:type="spellStart"/>
      <w:r>
        <w:t>досуточной</w:t>
      </w:r>
      <w:proofErr w:type="spellEnd"/>
      <w:r>
        <w:t xml:space="preserve"> летальности детей в стационаре, в том числе детей первого года жизни.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4. Эффективность деятельности врача общей практики (семейного врача) при оказании амбулаторно-поликлинической помощи женщинам в период беременности оценивается отсутствием следующих критериев: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антенатальная гибель плода;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врожденные аномалии развития, не выявленные во время беременности;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разрыв матки до госпитализации;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 xml:space="preserve">несвоевременная госпитализация при </w:t>
      </w:r>
      <w:proofErr w:type="spellStart"/>
      <w:r>
        <w:t>гестозе</w:t>
      </w:r>
      <w:proofErr w:type="spellEnd"/>
      <w:r>
        <w:t xml:space="preserve"> средней степени тяжести;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несвоевременная госпитализация при переношенной беременности.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5. Конкретные критерии оценки эффективности деятельности врача общей практики (семейного врача) определяются руководителем лечебно-профилактического учреждения с учетом численности, плотности, возрастно-полового состава населения, уровня заболеваемости, географических и иных особенностей.</w:t>
      </w:r>
    </w:p>
    <w:p w:rsidR="0038581A" w:rsidRDefault="0038581A">
      <w:pPr>
        <w:pStyle w:val="ConsPlusNormal"/>
        <w:spacing w:before="220"/>
        <w:ind w:firstLine="540"/>
        <w:jc w:val="both"/>
      </w:pPr>
      <w:r>
        <w:t>6. При необходимости по решению руководителя лечебно-профилактического учреждения здравоохранения могут использоваться дополнительные критерии оценки эффективности деятельности врача общей практики (семейного врача).</w:t>
      </w:r>
    </w:p>
    <w:p w:rsidR="0038581A" w:rsidRDefault="0038581A">
      <w:pPr>
        <w:pStyle w:val="ConsPlusNormal"/>
        <w:ind w:firstLine="540"/>
        <w:jc w:val="both"/>
      </w:pPr>
    </w:p>
    <w:p w:rsidR="0038581A" w:rsidRDefault="0038581A">
      <w:pPr>
        <w:pStyle w:val="ConsPlusNormal"/>
        <w:ind w:firstLine="540"/>
        <w:jc w:val="both"/>
      </w:pPr>
    </w:p>
    <w:p w:rsidR="0038581A" w:rsidRDefault="00385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FD7" w:rsidRDefault="00080FD7"/>
    <w:sectPr w:rsidR="00080FD7" w:rsidSect="005E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581A"/>
    <w:rsid w:val="00080FD7"/>
    <w:rsid w:val="0038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14BD5D027069B271B954CFF127C5FE052321EB566C9F91BB213352532490207BE510ED8D55B0R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F14BD5D027069B271B954CFF127C5FC0D2A21E1566C9F91BB213352532490207BE510ED8D52B0R1H" TargetMode="External"/><Relationship Id="rId12" Type="http://schemas.openxmlformats.org/officeDocument/2006/relationships/hyperlink" Target="consultantplus://offline/ref=2D6F14BD5D027069B271B954CFF127C5FB0D2520E35F319599E22D31555C7B872732E911ED8D5704B7R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F14BD5D027069B271B954CFF127C5FB052628EA54319599E22D31555C7B872732E911ED8D5701B7R6H" TargetMode="External"/><Relationship Id="rId11" Type="http://schemas.openxmlformats.org/officeDocument/2006/relationships/hyperlink" Target="consultantplus://offline/ref=2D6F14BD5D027069B271B954CFF127C5FF0B2620EA566C9F91BB213352532490207BE510ED8D56B0R2H" TargetMode="External"/><Relationship Id="rId5" Type="http://schemas.openxmlformats.org/officeDocument/2006/relationships/hyperlink" Target="consultantplus://offline/ref=2D6F14BD5D027069B271B954CFF127C5FC0D2A21E1566C9F91BB213352532490207BE510ED8D55B0R6H" TargetMode="External"/><Relationship Id="rId10" Type="http://schemas.openxmlformats.org/officeDocument/2006/relationships/hyperlink" Target="consultantplus://offline/ref=2D6F14BD5D027069B271B954CFF127C5FB052628EA54319599E22D31555C7B872732E911ED8D550CB7R7H" TargetMode="External"/><Relationship Id="rId4" Type="http://schemas.openxmlformats.org/officeDocument/2006/relationships/hyperlink" Target="consultantplus://offline/ref=2D6F14BD5D027069B271B954CFF127C5F80E2A2FEA5F319599E22D31555C7B872732E911ED8D560DB7R7H" TargetMode="External"/><Relationship Id="rId9" Type="http://schemas.openxmlformats.org/officeDocument/2006/relationships/hyperlink" Target="consultantplus://offline/ref=2D6F14BD5D027069B271B954CFF127C5FB052628EA54319599E22D31555C7B872732E911ED8D5300B7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1792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Тарасенко</cp:lastModifiedBy>
  <cp:revision>1</cp:revision>
  <dcterms:created xsi:type="dcterms:W3CDTF">2018-06-15T07:17:00Z</dcterms:created>
  <dcterms:modified xsi:type="dcterms:W3CDTF">2018-06-15T07:21:00Z</dcterms:modified>
</cp:coreProperties>
</file>